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3E51C4" w:rsidRDefault="009F3EF0" w:rsidP="009F3EF0">
      <w:pPr>
        <w:numPr>
          <w:ilvl w:val="0"/>
          <w:numId w:val="1"/>
        </w:numPr>
        <w:spacing w:before="100" w:beforeAutospacing="1" w:after="100" w:afterAutospacing="1"/>
        <w:rPr>
          <w:rFonts w:eastAsia="Times New Roman"/>
          <w:b/>
        </w:rPr>
      </w:pPr>
      <w:bookmarkStart w:id="0" w:name="_GoBack"/>
      <w:bookmarkEnd w:id="0"/>
      <w:r w:rsidRPr="003E51C4">
        <w:rPr>
          <w:rFonts w:eastAsia="Times New Roman"/>
          <w:b/>
        </w:rPr>
        <w:t xml:space="preserve">Global Strategy for Women’s, Children’s and Adolescents’ Health (2016–2030) early childhood development </w:t>
      </w:r>
    </w:p>
    <w:p w:rsidR="00322341" w:rsidRPr="003E51C4" w:rsidRDefault="00BA0B23" w:rsidP="00BA0B23">
      <w:pPr>
        <w:spacing w:before="100" w:beforeAutospacing="1" w:after="100" w:afterAutospacing="1"/>
        <w:rPr>
          <w:rFonts w:eastAsia="Times New Roman"/>
          <w:b/>
        </w:rPr>
      </w:pPr>
      <w:r w:rsidRPr="003E51C4">
        <w:rPr>
          <w:rFonts w:eastAsia="Times New Roman"/>
          <w:b/>
        </w:rPr>
        <w:t>Georgian</w:t>
      </w:r>
      <w:r w:rsidR="003E51C4" w:rsidRPr="003E51C4">
        <w:rPr>
          <w:rFonts w:eastAsia="Times New Roman"/>
          <w:b/>
        </w:rPr>
        <w:t xml:space="preserve"> experience</w:t>
      </w:r>
    </w:p>
    <w:p w:rsidR="003E51C4" w:rsidRDefault="003E51C4" w:rsidP="0057428D">
      <w:pPr>
        <w:jc w:val="both"/>
        <w:rPr>
          <w:color w:val="000000"/>
          <w:kern w:val="24"/>
          <w:sz w:val="24"/>
          <w:szCs w:val="24"/>
          <w:lang w:val="en-GB" w:eastAsia="ka-GE"/>
        </w:rPr>
      </w:pPr>
      <w:r w:rsidRPr="004D2FC5">
        <w:rPr>
          <w:b/>
          <w:sz w:val="24"/>
          <w:szCs w:val="24"/>
        </w:rPr>
        <w:t>MNH Status in Georgia</w:t>
      </w:r>
      <w:r w:rsidR="0057428D">
        <w:rPr>
          <w:b/>
          <w:sz w:val="24"/>
          <w:szCs w:val="24"/>
        </w:rPr>
        <w:t xml:space="preserve">: </w:t>
      </w:r>
      <w:r w:rsidRPr="001D4A4A">
        <w:rPr>
          <w:color w:val="000000"/>
          <w:kern w:val="24"/>
          <w:sz w:val="24"/>
          <w:szCs w:val="24"/>
          <w:lang w:val="en-GB" w:eastAsia="ka-GE"/>
        </w:rPr>
        <w:t>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Pr>
          <w:color w:val="000000"/>
          <w:kern w:val="24"/>
          <w:sz w:val="24"/>
          <w:szCs w:val="24"/>
          <w:lang w:val="en-GB" w:eastAsia="ka-GE"/>
        </w:rPr>
        <w:t>.</w:t>
      </w:r>
    </w:p>
    <w:p w:rsidR="003E51C4" w:rsidRDefault="00552513" w:rsidP="00903BF2">
      <w:pPr>
        <w:spacing w:before="100" w:beforeAutospacing="1" w:after="100" w:afterAutospacing="1"/>
        <w:jc w:val="both"/>
        <w:rPr>
          <w:color w:val="000000"/>
          <w:kern w:val="24"/>
          <w:sz w:val="24"/>
          <w:szCs w:val="24"/>
          <w:lang w:val="en-GB" w:eastAsia="ka-GE"/>
        </w:rPr>
      </w:pPr>
      <w:r>
        <w:rPr>
          <w:noProof/>
          <w:color w:val="000000"/>
          <w:kern w:val="24"/>
          <w:sz w:val="24"/>
          <w:szCs w:val="24"/>
        </w:rPr>
        <w:drawing>
          <wp:anchor distT="0" distB="0" distL="114300" distR="114300" simplePos="0" relativeHeight="251660288" behindDoc="0" locked="0" layoutInCell="1" allowOverlap="1" wp14:anchorId="60909F75" wp14:editId="274244BD">
            <wp:simplePos x="0" y="0"/>
            <wp:positionH relativeFrom="column">
              <wp:posOffset>-3810</wp:posOffset>
            </wp:positionH>
            <wp:positionV relativeFrom="paragraph">
              <wp:posOffset>1341120</wp:posOffset>
            </wp:positionV>
            <wp:extent cx="2781300" cy="23336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4277" t="6845" r="12469"/>
                    <a:stretch/>
                  </pic:blipFill>
                  <pic:spPr bwMode="auto">
                    <a:xfrm>
                      <a:off x="0" y="0"/>
                      <a:ext cx="2781300" cy="2333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28D">
        <w:rPr>
          <w:noProof/>
          <w:color w:val="000000"/>
          <w:kern w:val="24"/>
          <w:sz w:val="24"/>
          <w:szCs w:val="24"/>
        </w:rPr>
        <w:drawing>
          <wp:anchor distT="0" distB="0" distL="114300" distR="114300" simplePos="0" relativeHeight="251661312" behindDoc="0" locked="0" layoutInCell="1" allowOverlap="1" wp14:anchorId="595F5388" wp14:editId="3914731B">
            <wp:simplePos x="0" y="0"/>
            <wp:positionH relativeFrom="column">
              <wp:posOffset>3082290</wp:posOffset>
            </wp:positionH>
            <wp:positionV relativeFrom="paragraph">
              <wp:posOffset>1172845</wp:posOffset>
            </wp:positionV>
            <wp:extent cx="3238500" cy="2332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3622" t="15001" r="1671" b="10555"/>
                    <a:stretch/>
                  </pic:blipFill>
                  <pic:spPr bwMode="auto">
                    <a:xfrm>
                      <a:off x="0" y="0"/>
                      <a:ext cx="3238500" cy="23323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E51C4" w:rsidRPr="001D4A4A">
        <w:rPr>
          <w:color w:val="000000"/>
          <w:kern w:val="24"/>
          <w:sz w:val="24"/>
          <w:szCs w:val="24"/>
          <w:lang w:val="en-GB" w:eastAsia="ka-GE"/>
        </w:rPr>
        <w:t>While significant progress has been made in reducing child/infant mortality rates, more efforts are needed to improve maternal mortality figures. Maternal Mortality Ratio in Georgia has fluctuated widely over the past decades. In 2015 it was 32.1 per 100 000 live birth, which is higher than average rate both for European region and the CIS. The rate decreased to 22.9 per 100 000 livebirth in 2016.</w:t>
      </w:r>
    </w:p>
    <w:p w:rsidR="0057428D" w:rsidRPr="001D4A4A" w:rsidRDefault="0057428D" w:rsidP="0057428D">
      <w:pPr>
        <w:spacing w:before="100" w:beforeAutospacing="1" w:after="100" w:afterAutospacing="1"/>
        <w:rPr>
          <w:color w:val="000000"/>
          <w:kern w:val="24"/>
          <w:sz w:val="24"/>
          <w:szCs w:val="24"/>
          <w:lang w:val="en-GB" w:eastAsia="ka-GE"/>
        </w:rPr>
      </w:pPr>
    </w:p>
    <w:p w:rsidR="0057428D" w:rsidRPr="001D4A4A" w:rsidRDefault="0057428D" w:rsidP="0057428D">
      <w:pPr>
        <w:autoSpaceDE w:val="0"/>
        <w:autoSpaceDN w:val="0"/>
        <w:adjustRightInd w:val="0"/>
        <w:spacing w:before="240"/>
        <w:jc w:val="both"/>
        <w:rPr>
          <w:color w:val="000000"/>
          <w:kern w:val="24"/>
          <w:sz w:val="24"/>
          <w:szCs w:val="24"/>
          <w:lang w:val="en-GB" w:eastAsia="ka-GE"/>
        </w:rPr>
      </w:pPr>
      <w:r w:rsidRPr="001D4A4A">
        <w:rPr>
          <w:b/>
          <w:color w:val="000000"/>
          <w:kern w:val="24"/>
          <w:sz w:val="24"/>
          <w:szCs w:val="24"/>
          <w:lang w:val="en-GB" w:eastAsia="ka-GE"/>
        </w:rPr>
        <w:t>National MNH Strategy</w:t>
      </w:r>
      <w:r>
        <w:rPr>
          <w:b/>
          <w:color w:val="000000"/>
          <w:kern w:val="24"/>
          <w:sz w:val="24"/>
          <w:szCs w:val="24"/>
          <w:lang w:val="en-GB" w:eastAsia="ka-GE"/>
        </w:rPr>
        <w:t>:</w:t>
      </w:r>
      <w:r w:rsidRPr="001D4A4A">
        <w:rPr>
          <w:color w:val="000000"/>
          <w:kern w:val="24"/>
          <w:sz w:val="24"/>
          <w:szCs w:val="24"/>
          <w:lang w:val="en-GB" w:eastAsia="ka-GE"/>
        </w:rPr>
        <w:t xml:space="preserve"> 2017-2030 with related short term Action Plan (2017-2019) is developed and approved by the government with the aim to provide long-term guidance and coherent plan of action for the improvement of maternal and </w:t>
      </w:r>
      <w:r w:rsidR="00E26103" w:rsidRPr="001D4A4A">
        <w:rPr>
          <w:color w:val="000000"/>
          <w:kern w:val="24"/>
          <w:sz w:val="24"/>
          <w:szCs w:val="24"/>
          <w:lang w:val="en-GB" w:eastAsia="ka-GE"/>
        </w:rPr>
        <w:t>new born</w:t>
      </w:r>
      <w:r w:rsidRPr="001D4A4A">
        <w:rPr>
          <w:color w:val="000000"/>
          <w:kern w:val="24"/>
          <w:sz w:val="24"/>
          <w:szCs w:val="24"/>
          <w:lang w:val="en-GB" w:eastAsia="ka-GE"/>
        </w:rPr>
        <w:t xml:space="preserve"> health in Georgia.   </w:t>
      </w:r>
    </w:p>
    <w:p w:rsidR="003E51C4" w:rsidRDefault="003E51C4" w:rsidP="003E51C4">
      <w:pPr>
        <w:autoSpaceDE w:val="0"/>
        <w:autoSpaceDN w:val="0"/>
        <w:adjustRightInd w:val="0"/>
        <w:jc w:val="both"/>
        <w:rPr>
          <w:color w:val="000000"/>
          <w:kern w:val="24"/>
          <w:sz w:val="24"/>
          <w:szCs w:val="24"/>
          <w:lang w:val="en-GB" w:eastAsia="ka-GE"/>
        </w:rPr>
      </w:pPr>
    </w:p>
    <w:p w:rsidR="0057428D" w:rsidRPr="001D4A4A" w:rsidRDefault="0057428D" w:rsidP="0057428D">
      <w:pPr>
        <w:autoSpaceDE w:val="0"/>
        <w:autoSpaceDN w:val="0"/>
        <w:adjustRightInd w:val="0"/>
        <w:jc w:val="both"/>
        <w:rPr>
          <w:b/>
          <w:kern w:val="24"/>
          <w:sz w:val="24"/>
          <w:szCs w:val="24"/>
          <w:lang w:val="en-GB" w:eastAsia="ka-GE"/>
        </w:rPr>
      </w:pPr>
      <w:r w:rsidRPr="001D4A4A">
        <w:rPr>
          <w:b/>
          <w:kern w:val="24"/>
          <w:sz w:val="24"/>
          <w:szCs w:val="24"/>
          <w:lang w:eastAsia="ka-GE"/>
        </w:rPr>
        <w:t xml:space="preserve">Perinatal Care Regionalization - </w:t>
      </w:r>
      <w:r w:rsidRPr="001D4A4A">
        <w:rPr>
          <w:b/>
          <w:kern w:val="24"/>
          <w:sz w:val="24"/>
          <w:szCs w:val="24"/>
          <w:lang w:val="en-GB" w:eastAsia="ka-GE"/>
        </w:rPr>
        <w:t xml:space="preserve">“gold” model of maternal and </w:t>
      </w:r>
      <w:r w:rsidR="00E26103" w:rsidRPr="001D4A4A">
        <w:rPr>
          <w:b/>
          <w:kern w:val="24"/>
          <w:sz w:val="24"/>
          <w:szCs w:val="24"/>
          <w:lang w:val="en-GB" w:eastAsia="ka-GE"/>
        </w:rPr>
        <w:t>new born</w:t>
      </w:r>
      <w:r w:rsidRPr="001D4A4A">
        <w:rPr>
          <w:b/>
          <w:kern w:val="24"/>
          <w:sz w:val="24"/>
          <w:szCs w:val="24"/>
          <w:lang w:val="en-GB" w:eastAsia="ka-GE"/>
        </w:rPr>
        <w:t xml:space="preserve"> service organization</w:t>
      </w:r>
    </w:p>
    <w:p w:rsidR="0057428D" w:rsidRPr="001D4A4A" w:rsidRDefault="0057428D" w:rsidP="0057428D">
      <w:pPr>
        <w:autoSpaceDE w:val="0"/>
        <w:autoSpaceDN w:val="0"/>
        <w:adjustRightInd w:val="0"/>
        <w:jc w:val="both"/>
        <w:rPr>
          <w:color w:val="000000"/>
          <w:kern w:val="24"/>
          <w:sz w:val="24"/>
          <w:szCs w:val="24"/>
          <w:lang w:val="en-GB" w:eastAsia="ka-GE"/>
        </w:rPr>
      </w:pPr>
      <w:r w:rsidRPr="001D4A4A">
        <w:rPr>
          <w:b/>
          <w:color w:val="000000"/>
          <w:kern w:val="24"/>
          <w:sz w:val="24"/>
          <w:szCs w:val="24"/>
          <w:lang w:val="en-GB" w:eastAsia="ka-GE"/>
        </w:rPr>
        <w:t xml:space="preserve">Aim: </w:t>
      </w:r>
      <w:r w:rsidRPr="001D4A4A">
        <w:rPr>
          <w:color w:val="000000"/>
          <w:kern w:val="24"/>
          <w:sz w:val="24"/>
          <w:szCs w:val="24"/>
          <w:lang w:val="en-GB" w:eastAsia="ka-GE"/>
        </w:rPr>
        <w:t xml:space="preserve">to improve the health outcomes and decrease maternal and infant morbidity and mortality through provision of risk-appropriate care. </w:t>
      </w:r>
    </w:p>
    <w:p w:rsidR="0057428D" w:rsidRPr="001D4A4A" w:rsidRDefault="0057428D" w:rsidP="0057428D">
      <w:pPr>
        <w:autoSpaceDE w:val="0"/>
        <w:autoSpaceDN w:val="0"/>
        <w:adjustRightInd w:val="0"/>
        <w:jc w:val="both"/>
        <w:rPr>
          <w:color w:val="000000"/>
          <w:kern w:val="24"/>
          <w:sz w:val="24"/>
          <w:szCs w:val="24"/>
          <w:lang w:val="en-GB" w:eastAsia="ka-GE"/>
        </w:rPr>
      </w:pPr>
    </w:p>
    <w:p w:rsidR="0057428D" w:rsidRDefault="0057428D" w:rsidP="0057428D">
      <w:pPr>
        <w:autoSpaceDE w:val="0"/>
        <w:autoSpaceDN w:val="0"/>
        <w:adjustRightInd w:val="0"/>
        <w:jc w:val="both"/>
        <w:rPr>
          <w:color w:val="000000"/>
          <w:kern w:val="24"/>
          <w:sz w:val="24"/>
          <w:szCs w:val="24"/>
          <w:lang w:val="en-GB" w:eastAsia="ka-GE"/>
        </w:rPr>
      </w:pPr>
      <w:r w:rsidRPr="001D4A4A">
        <w:rPr>
          <w:b/>
          <w:color w:val="000000"/>
          <w:kern w:val="24"/>
          <w:sz w:val="24"/>
          <w:szCs w:val="24"/>
          <w:lang w:val="en-GB" w:eastAsia="ka-GE"/>
        </w:rPr>
        <w:t xml:space="preserve">Principle: </w:t>
      </w:r>
      <w:r w:rsidRPr="001D4A4A">
        <w:rPr>
          <w:color w:val="000000"/>
          <w:kern w:val="24"/>
          <w:sz w:val="24"/>
          <w:szCs w:val="24"/>
          <w:lang w:val="en-GB" w:eastAsia="ka-GE"/>
        </w:rPr>
        <w:t xml:space="preserve">each mother and </w:t>
      </w:r>
      <w:r w:rsidR="00E26103" w:rsidRPr="001D4A4A">
        <w:rPr>
          <w:color w:val="000000"/>
          <w:kern w:val="24"/>
          <w:sz w:val="24"/>
          <w:szCs w:val="24"/>
          <w:lang w:val="en-GB" w:eastAsia="ka-GE"/>
        </w:rPr>
        <w:t>new born</w:t>
      </w:r>
      <w:r w:rsidRPr="001D4A4A">
        <w:rPr>
          <w:color w:val="000000"/>
          <w:kern w:val="24"/>
          <w:sz w:val="24"/>
          <w:szCs w:val="24"/>
          <w:lang w:val="en-GB" w:eastAsia="ka-GE"/>
        </w:rPr>
        <w:t xml:space="preserve"> is delivered and cared for in a facility appropriate for his or her healthcare needs.</w:t>
      </w:r>
    </w:p>
    <w:p w:rsidR="0057428D" w:rsidRDefault="0057428D" w:rsidP="0057428D">
      <w:pPr>
        <w:autoSpaceDE w:val="0"/>
        <w:autoSpaceDN w:val="0"/>
        <w:adjustRightInd w:val="0"/>
        <w:jc w:val="both"/>
        <w:rPr>
          <w:color w:val="000000"/>
          <w:kern w:val="24"/>
          <w:sz w:val="24"/>
          <w:szCs w:val="24"/>
          <w:lang w:val="en-GB" w:eastAsia="ka-GE"/>
        </w:rPr>
      </w:pPr>
    </w:p>
    <w:p w:rsidR="0057428D" w:rsidRDefault="0057428D" w:rsidP="0057428D">
      <w:pPr>
        <w:autoSpaceDE w:val="0"/>
        <w:autoSpaceDN w:val="0"/>
        <w:adjustRightInd w:val="0"/>
        <w:jc w:val="both"/>
        <w:rPr>
          <w:color w:val="000000"/>
          <w:kern w:val="24"/>
          <w:sz w:val="24"/>
          <w:szCs w:val="24"/>
          <w:lang w:val="en-GB" w:eastAsia="ka-GE"/>
        </w:rPr>
      </w:pPr>
      <w:r w:rsidRPr="001D4A4A">
        <w:rPr>
          <w:b/>
          <w:color w:val="000000"/>
          <w:kern w:val="24"/>
          <w:sz w:val="24"/>
          <w:szCs w:val="24"/>
          <w:lang w:val="en-GB" w:eastAsia="ka-GE"/>
        </w:rPr>
        <w:t xml:space="preserve">Process: </w:t>
      </w:r>
      <w:r w:rsidRPr="001D4A4A">
        <w:rPr>
          <w:color w:val="000000"/>
          <w:kern w:val="24"/>
          <w:sz w:val="24"/>
          <w:szCs w:val="24"/>
          <w:lang w:val="en-GB" w:eastAsia="ka-GE"/>
        </w:rPr>
        <w:t xml:space="preserve">all facilities providing maternal and </w:t>
      </w:r>
      <w:r w:rsidR="00E26103" w:rsidRPr="001D4A4A">
        <w:rPr>
          <w:color w:val="000000"/>
          <w:kern w:val="24"/>
          <w:sz w:val="24"/>
          <w:szCs w:val="24"/>
          <w:lang w:val="en-GB" w:eastAsia="ka-GE"/>
        </w:rPr>
        <w:t>new born</w:t>
      </w:r>
      <w:r w:rsidRPr="001D4A4A">
        <w:rPr>
          <w:color w:val="000000"/>
          <w:kern w:val="24"/>
          <w:sz w:val="24"/>
          <w:szCs w:val="24"/>
          <w:lang w:val="en-GB" w:eastAsia="ka-GE"/>
        </w:rPr>
        <w:t xml:space="preserve"> care services are divided by levels of care according to their capacity.</w:t>
      </w:r>
    </w:p>
    <w:p w:rsidR="0057428D" w:rsidRDefault="0057428D" w:rsidP="0057428D">
      <w:pPr>
        <w:autoSpaceDE w:val="0"/>
        <w:autoSpaceDN w:val="0"/>
        <w:adjustRightInd w:val="0"/>
        <w:jc w:val="both"/>
        <w:rPr>
          <w:color w:val="000000"/>
          <w:kern w:val="24"/>
          <w:sz w:val="24"/>
          <w:szCs w:val="24"/>
          <w:lang w:val="en-GB" w:eastAsia="ka-GE"/>
        </w:rPr>
      </w:pPr>
    </w:p>
    <w:p w:rsidR="00D15B3F" w:rsidRDefault="00D15B3F" w:rsidP="00D15B3F">
      <w:pPr>
        <w:jc w:val="both"/>
      </w:pPr>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w:t>
      </w:r>
      <w:r w:rsidRPr="008D66B7">
        <w:lastRenderedPageBreak/>
        <w:t xml:space="preserve">the correct patient to a correct medical institution and, if necessary, effective referral. Regionalization </w:t>
      </w:r>
      <w:r>
        <w:t>was</w:t>
      </w:r>
      <w:r w:rsidRPr="008D66B7">
        <w:t xml:space="preserve"> be completed in 2017.</w:t>
      </w:r>
    </w:p>
    <w:p w:rsidR="00D15B3F" w:rsidRPr="00D15B3F" w:rsidRDefault="00D15B3F" w:rsidP="0057428D">
      <w:pPr>
        <w:autoSpaceDE w:val="0"/>
        <w:autoSpaceDN w:val="0"/>
        <w:adjustRightInd w:val="0"/>
        <w:jc w:val="both"/>
        <w:rPr>
          <w:color w:val="000000"/>
          <w:kern w:val="24"/>
          <w:sz w:val="24"/>
          <w:szCs w:val="24"/>
          <w:lang w:eastAsia="ka-GE"/>
        </w:rPr>
      </w:pPr>
    </w:p>
    <w:p w:rsidR="0057428D" w:rsidRPr="001D4A4A" w:rsidRDefault="009A2899" w:rsidP="0057428D">
      <w:pPr>
        <w:autoSpaceDE w:val="0"/>
        <w:autoSpaceDN w:val="0"/>
        <w:adjustRightInd w:val="0"/>
        <w:jc w:val="both"/>
        <w:rPr>
          <w:color w:val="000000"/>
          <w:kern w:val="24"/>
          <w:sz w:val="24"/>
          <w:szCs w:val="24"/>
          <w:lang w:val="en-GB" w:eastAsia="ka-GE"/>
        </w:rPr>
      </w:pPr>
      <w:r>
        <w:rPr>
          <w:color w:val="000000"/>
          <w:kern w:val="24"/>
          <w:sz w:val="24"/>
          <w:szCs w:val="24"/>
          <w:lang w:val="en-GB" w:eastAsia="ka-GE"/>
        </w:rPr>
        <w:t>105 facilities assessed, 83</w:t>
      </w:r>
      <w:r w:rsidR="0057428D" w:rsidRPr="001D4A4A">
        <w:rPr>
          <w:color w:val="000000"/>
          <w:kern w:val="24"/>
          <w:sz w:val="24"/>
          <w:szCs w:val="24"/>
          <w:lang w:val="en-GB" w:eastAsia="ka-GE"/>
        </w:rPr>
        <w:t xml:space="preserve"> facilities have </w:t>
      </w:r>
      <w:r>
        <w:rPr>
          <w:color w:val="000000"/>
          <w:kern w:val="24"/>
          <w:sz w:val="24"/>
          <w:szCs w:val="24"/>
          <w:lang w:val="en-GB" w:eastAsia="ka-GE"/>
        </w:rPr>
        <w:t>designated level of care. All 83</w:t>
      </w:r>
      <w:r w:rsidR="0057428D" w:rsidRPr="001D4A4A">
        <w:rPr>
          <w:color w:val="000000"/>
          <w:kern w:val="24"/>
          <w:sz w:val="24"/>
          <w:szCs w:val="24"/>
          <w:lang w:val="en-GB" w:eastAsia="ka-GE"/>
        </w:rPr>
        <w:t xml:space="preserve"> facilities strengthened their capacity for infrastructure/equipment and competencies of service providers according to the level requirements. </w:t>
      </w:r>
    </w:p>
    <w:p w:rsidR="0057428D" w:rsidRDefault="0057428D" w:rsidP="003E51C4">
      <w:pPr>
        <w:autoSpaceDE w:val="0"/>
        <w:autoSpaceDN w:val="0"/>
        <w:adjustRightInd w:val="0"/>
        <w:jc w:val="both"/>
        <w:rPr>
          <w:color w:val="000000"/>
          <w:kern w:val="24"/>
          <w:sz w:val="24"/>
          <w:szCs w:val="24"/>
          <w:lang w:val="en-GB" w:eastAsia="ka-GE"/>
        </w:rPr>
      </w:pPr>
    </w:p>
    <w:p w:rsidR="0057428D" w:rsidRPr="001D4A4A" w:rsidRDefault="0057428D" w:rsidP="0057428D">
      <w:pPr>
        <w:autoSpaceDE w:val="0"/>
        <w:autoSpaceDN w:val="0"/>
        <w:adjustRightInd w:val="0"/>
        <w:jc w:val="both"/>
        <w:rPr>
          <w:color w:val="000000"/>
          <w:kern w:val="24"/>
          <w:sz w:val="24"/>
          <w:szCs w:val="24"/>
          <w:lang w:val="en-GB" w:eastAsia="ka-GE"/>
        </w:rPr>
      </w:pPr>
      <w:r w:rsidRPr="001D4A4A">
        <w:rPr>
          <w:b/>
          <w:kern w:val="24"/>
          <w:sz w:val="24"/>
          <w:szCs w:val="24"/>
          <w:lang w:eastAsia="ka-GE"/>
        </w:rPr>
        <w:t>Birth Registry</w:t>
      </w:r>
      <w:r>
        <w:rPr>
          <w:b/>
          <w:kern w:val="24"/>
          <w:sz w:val="24"/>
          <w:szCs w:val="24"/>
          <w:lang w:eastAsia="ka-GE"/>
        </w:rPr>
        <w:t xml:space="preserve">: </w:t>
      </w:r>
      <w:r w:rsidRPr="001D4A4A">
        <w:rPr>
          <w:color w:val="000000"/>
          <w:kern w:val="24"/>
          <w:sz w:val="24"/>
          <w:szCs w:val="24"/>
          <w:lang w:val="en-GB" w:eastAsia="ka-GE"/>
        </w:rPr>
        <w:t xml:space="preserve">In 2016, </w:t>
      </w:r>
      <w:proofErr w:type="spellStart"/>
      <w:r w:rsidRPr="001D4A4A">
        <w:rPr>
          <w:color w:val="000000"/>
          <w:kern w:val="24"/>
          <w:sz w:val="24"/>
          <w:szCs w:val="24"/>
          <w:lang w:val="en-GB" w:eastAsia="ka-GE"/>
        </w:rPr>
        <w:t>MoLHSA</w:t>
      </w:r>
      <w:proofErr w:type="spellEnd"/>
      <w:r w:rsidRPr="001D4A4A">
        <w:rPr>
          <w:color w:val="000000"/>
          <w:kern w:val="24"/>
          <w:sz w:val="24"/>
          <w:szCs w:val="24"/>
          <w:lang w:val="en-GB" w:eastAsia="ka-GE"/>
        </w:rPr>
        <w:t xml:space="preserve"> in alliance with NCDC launched the nationwide electronic registry “Mother’s and neonate’s health surveillance system”, so called “Georgian Birth Registry” (GBR). The system tracks information on all cases of pregnancy</w:t>
      </w:r>
      <w:r w:rsidRPr="001D4A4A">
        <w:rPr>
          <w:color w:val="000000"/>
          <w:kern w:val="24"/>
          <w:sz w:val="24"/>
          <w:szCs w:val="24"/>
          <w:lang w:val="ka-GE" w:eastAsia="ka-GE"/>
        </w:rPr>
        <w:t>,</w:t>
      </w:r>
      <w:r w:rsidRPr="001D4A4A">
        <w:rPr>
          <w:color w:val="000000"/>
          <w:kern w:val="24"/>
          <w:sz w:val="24"/>
          <w:szCs w:val="24"/>
          <w:lang w:val="en-GB" w:eastAsia="ka-GE"/>
        </w:rPr>
        <w:t xml:space="preserve"> delivery, postpartum, neonatal care and abortion.</w:t>
      </w:r>
    </w:p>
    <w:p w:rsidR="0057428D" w:rsidRPr="001D4A4A" w:rsidRDefault="0057428D" w:rsidP="0057428D">
      <w:pPr>
        <w:jc w:val="both"/>
        <w:rPr>
          <w:color w:val="000000"/>
          <w:kern w:val="24"/>
          <w:sz w:val="24"/>
          <w:szCs w:val="24"/>
          <w:lang w:val="en-GB" w:eastAsia="ka-GE"/>
        </w:rPr>
      </w:pPr>
      <w:r w:rsidRPr="001D4A4A">
        <w:rPr>
          <w:color w:val="000000"/>
          <w:kern w:val="24"/>
          <w:sz w:val="24"/>
          <w:szCs w:val="24"/>
          <w:lang w:val="en-GB" w:eastAsia="ka-GE"/>
        </w:rPr>
        <w:t>The GBR provides an opportunity:</w:t>
      </w:r>
    </w:p>
    <w:p w:rsidR="0057428D" w:rsidRPr="004D2FC5" w:rsidRDefault="0057428D" w:rsidP="0057428D">
      <w:pPr>
        <w:pStyle w:val="ListParagraph"/>
        <w:numPr>
          <w:ilvl w:val="0"/>
          <w:numId w:val="2"/>
        </w:numPr>
        <w:spacing w:after="0" w:line="240" w:lineRule="auto"/>
        <w:jc w:val="both"/>
        <w:rPr>
          <w:sz w:val="24"/>
          <w:szCs w:val="24"/>
        </w:rPr>
      </w:pPr>
      <w:r w:rsidRPr="004D2FC5">
        <w:rPr>
          <w:sz w:val="24"/>
          <w:szCs w:val="24"/>
        </w:rPr>
        <w:t>to get comprehensive knowledge on a wide array of indicators, related to the maternal and newborn health, morbidity and mortality along with the quality of antenatal, obstetric and neonatal care</w:t>
      </w:r>
    </w:p>
    <w:p w:rsidR="0057428D" w:rsidRPr="004D2FC5" w:rsidRDefault="0057428D" w:rsidP="0057428D">
      <w:pPr>
        <w:pStyle w:val="ListParagraph"/>
        <w:numPr>
          <w:ilvl w:val="0"/>
          <w:numId w:val="2"/>
        </w:numPr>
        <w:spacing w:after="0" w:line="240" w:lineRule="auto"/>
        <w:jc w:val="both"/>
        <w:rPr>
          <w:sz w:val="24"/>
          <w:szCs w:val="24"/>
        </w:rPr>
      </w:pPr>
      <w:proofErr w:type="gramStart"/>
      <w:r w:rsidRPr="004D2FC5">
        <w:rPr>
          <w:sz w:val="24"/>
          <w:szCs w:val="24"/>
        </w:rPr>
        <w:t>to</w:t>
      </w:r>
      <w:proofErr w:type="gramEnd"/>
      <w:r w:rsidRPr="004D2FC5">
        <w:rPr>
          <w:sz w:val="24"/>
          <w:szCs w:val="24"/>
        </w:rPr>
        <w:t xml:space="preserve"> make evidence-based policy decisions.</w:t>
      </w:r>
    </w:p>
    <w:p w:rsidR="0057428D" w:rsidRPr="004D2FC5" w:rsidRDefault="0057428D" w:rsidP="0057428D">
      <w:pPr>
        <w:jc w:val="both"/>
        <w:rPr>
          <w:sz w:val="24"/>
          <w:szCs w:val="24"/>
        </w:rPr>
      </w:pPr>
      <w:r w:rsidRPr="004D2FC5">
        <w:rPr>
          <w:sz w:val="24"/>
          <w:szCs w:val="24"/>
        </w:rPr>
        <w:t>The GBR also allows monitoring the regionalization of perinatal care services through providing data on selected maternal and neonatal health</w:t>
      </w:r>
      <w:r w:rsidR="00456FB0">
        <w:rPr>
          <w:sz w:val="24"/>
          <w:szCs w:val="24"/>
        </w:rPr>
        <w:t xml:space="preserve"> </w:t>
      </w:r>
      <w:r w:rsidRPr="004D2FC5">
        <w:rPr>
          <w:sz w:val="24"/>
          <w:szCs w:val="24"/>
        </w:rPr>
        <w:t>indicators.</w:t>
      </w:r>
    </w:p>
    <w:p w:rsidR="0057428D" w:rsidRPr="004D2FC5" w:rsidRDefault="0057428D" w:rsidP="0057428D">
      <w:pPr>
        <w:jc w:val="both"/>
        <w:rPr>
          <w:sz w:val="24"/>
          <w:szCs w:val="24"/>
        </w:rPr>
      </w:pPr>
      <w:r w:rsidRPr="004D2FC5">
        <w:rPr>
          <w:sz w:val="24"/>
          <w:szCs w:val="24"/>
        </w:rPr>
        <w:t>The coverage of pregnancy and childbirth by GBR increased from 47% in 2016 to 96 % in 2017.</w:t>
      </w:r>
    </w:p>
    <w:p w:rsidR="0057428D" w:rsidRPr="0057428D" w:rsidRDefault="0057428D" w:rsidP="003E51C4">
      <w:pPr>
        <w:autoSpaceDE w:val="0"/>
        <w:autoSpaceDN w:val="0"/>
        <w:adjustRightInd w:val="0"/>
        <w:jc w:val="both"/>
        <w:rPr>
          <w:color w:val="000000"/>
          <w:kern w:val="24"/>
          <w:sz w:val="24"/>
          <w:szCs w:val="24"/>
          <w:lang w:eastAsia="ka-GE"/>
        </w:rPr>
      </w:pPr>
    </w:p>
    <w:p w:rsidR="0057428D" w:rsidRDefault="0057428D" w:rsidP="0057428D">
      <w:pPr>
        <w:jc w:val="both"/>
        <w:rPr>
          <w:color w:val="000000"/>
          <w:kern w:val="24"/>
          <w:sz w:val="24"/>
          <w:szCs w:val="24"/>
          <w:lang w:eastAsia="ka-GE"/>
        </w:rPr>
      </w:pPr>
      <w:r w:rsidRPr="001C660B">
        <w:rPr>
          <w:b/>
          <w:sz w:val="24"/>
          <w:szCs w:val="24"/>
        </w:rPr>
        <w:t>Selective Contracting</w:t>
      </w:r>
      <w:r>
        <w:rPr>
          <w:b/>
          <w:sz w:val="24"/>
          <w:szCs w:val="24"/>
        </w:rPr>
        <w:t xml:space="preserve">: </w:t>
      </w:r>
      <w:r w:rsidRPr="001D4A4A">
        <w:rPr>
          <w:color w:val="000000"/>
          <w:kern w:val="24"/>
          <w:sz w:val="24"/>
          <w:szCs w:val="24"/>
          <w:lang w:eastAsia="ka-GE"/>
        </w:rPr>
        <w:t xml:space="preserve">In March, 2017 </w:t>
      </w:r>
      <w:proofErr w:type="spellStart"/>
      <w:r w:rsidRPr="001D4A4A">
        <w:rPr>
          <w:color w:val="000000"/>
          <w:kern w:val="24"/>
          <w:sz w:val="24"/>
          <w:szCs w:val="24"/>
          <w:lang w:val="en-GB" w:eastAsia="ka-GE"/>
        </w:rPr>
        <w:t>MoLHSA</w:t>
      </w:r>
      <w:proofErr w:type="spellEnd"/>
      <w:r w:rsidRPr="001D4A4A">
        <w:rPr>
          <w:color w:val="000000"/>
          <w:kern w:val="24"/>
          <w:sz w:val="24"/>
          <w:szCs w:val="24"/>
          <w:lang w:eastAsia="ka-GE"/>
        </w:rPr>
        <w:t xml:space="preserve"> initiated a selective contracting of facilities providing perinatal care services. Social Service Agency contracts only facilities which demonstrate required compliance 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 </w:t>
      </w:r>
    </w:p>
    <w:p w:rsidR="0057428D" w:rsidRPr="001D4A4A" w:rsidRDefault="0057428D" w:rsidP="0057428D">
      <w:pPr>
        <w:jc w:val="both"/>
        <w:rPr>
          <w:color w:val="000000"/>
          <w:kern w:val="24"/>
          <w:sz w:val="24"/>
          <w:szCs w:val="24"/>
          <w:lang w:eastAsia="ka-GE"/>
        </w:rPr>
      </w:pPr>
    </w:p>
    <w:p w:rsidR="0057428D" w:rsidRDefault="0057428D" w:rsidP="0057428D">
      <w:pPr>
        <w:jc w:val="both"/>
        <w:rPr>
          <w:color w:val="000000"/>
          <w:kern w:val="24"/>
          <w:sz w:val="24"/>
          <w:szCs w:val="24"/>
          <w:lang w:eastAsia="ka-GE"/>
        </w:rPr>
      </w:pPr>
      <w:r w:rsidRPr="001C660B">
        <w:rPr>
          <w:b/>
        </w:rPr>
        <w:t>Clinical Audit</w:t>
      </w:r>
      <w:r>
        <w:rPr>
          <w:b/>
        </w:rPr>
        <w:t xml:space="preserve">: </w:t>
      </w:r>
      <w:r w:rsidRPr="001D4A4A">
        <w:rPr>
          <w:color w:val="000000"/>
          <w:kern w:val="24"/>
          <w:sz w:val="24"/>
          <w:szCs w:val="24"/>
          <w:lang w:eastAsia="ka-GE"/>
        </w:rPr>
        <w:t xml:space="preserve">The routine clinical audit of cases of stillbirth and maternal and neonatal mortality has been introduced by the </w:t>
      </w:r>
      <w:proofErr w:type="spellStart"/>
      <w:r w:rsidRPr="001D4A4A">
        <w:rPr>
          <w:color w:val="000000"/>
          <w:kern w:val="24"/>
          <w:sz w:val="24"/>
          <w:szCs w:val="24"/>
          <w:lang w:eastAsia="ka-GE"/>
        </w:rPr>
        <w:t>MoLSHA</w:t>
      </w:r>
      <w:proofErr w:type="spellEnd"/>
      <w:r w:rsidRPr="001D4A4A">
        <w:rPr>
          <w:color w:val="000000"/>
          <w:kern w:val="24"/>
          <w:sz w:val="24"/>
          <w:szCs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 </w:t>
      </w:r>
    </w:p>
    <w:p w:rsidR="0057428D" w:rsidRPr="001C660B" w:rsidRDefault="0057428D" w:rsidP="0057428D">
      <w:pPr>
        <w:jc w:val="both"/>
        <w:rPr>
          <w:b/>
        </w:rPr>
      </w:pPr>
    </w:p>
    <w:p w:rsidR="0057428D" w:rsidRPr="001D4A4A" w:rsidRDefault="0057428D" w:rsidP="0057428D">
      <w:pPr>
        <w:pStyle w:val="NormalWeb"/>
        <w:shd w:val="clear" w:color="auto" w:fill="FFFFFF"/>
        <w:jc w:val="both"/>
        <w:rPr>
          <w:rFonts w:ascii="Calibri" w:eastAsia="Times New Roman" w:hAnsi="Calibri" w:cs="Calibri"/>
          <w:color w:val="282828"/>
        </w:rPr>
      </w:pPr>
      <w:r w:rsidRPr="0057428D">
        <w:rPr>
          <w:rFonts w:ascii="Calibri" w:hAnsi="Calibri" w:cs="Calibri"/>
          <w:b/>
          <w:bCs/>
          <w:kern w:val="24"/>
          <w:lang w:val="en-GB" w:eastAsia="ka-GE"/>
        </w:rPr>
        <w:t>Elimination of mother-to-child transmission of HIV and syphilis:</w:t>
      </w:r>
      <w:r>
        <w:rPr>
          <w:rFonts w:ascii="Calibri" w:hAnsi="Calibri" w:cs="Calibri"/>
          <w:bCs/>
          <w:kern w:val="24"/>
          <w:lang w:val="en-GB" w:eastAsia="ka-GE"/>
        </w:rPr>
        <w:t xml:space="preserve"> </w:t>
      </w:r>
      <w:r w:rsidRPr="001D4A4A">
        <w:rPr>
          <w:rFonts w:ascii="Calibri" w:hAnsi="Calibri" w:cs="Calibri"/>
          <w:color w:val="000000"/>
          <w:kern w:val="24"/>
          <w:lang w:eastAsia="ka-GE"/>
        </w:rPr>
        <w:t>Georgia maintains a strong commitment to prevent mother-to-child transmission of HIV and syphilis (EMTCT) and integrated EMTCT into the National MNH Strategy. The specific plan for meeting elimination targets has been developed by the national elimination committee. EMTCT interventions are part of the national maternal and child health care programs and are offered to the population free-of-charge.</w:t>
      </w:r>
    </w:p>
    <w:p w:rsidR="0057428D" w:rsidRPr="001D4A4A" w:rsidRDefault="0057428D" w:rsidP="0057428D">
      <w:pPr>
        <w:pStyle w:val="Heading1"/>
        <w:shd w:val="clear" w:color="auto" w:fill="FFFFFF"/>
        <w:rPr>
          <w:rFonts w:ascii="Calibri" w:hAnsi="Calibri" w:cs="Calibri"/>
          <w:bCs w:val="0"/>
          <w:kern w:val="24"/>
          <w:sz w:val="24"/>
          <w:szCs w:val="24"/>
          <w:lang w:val="en-GB" w:eastAsia="ka-GE"/>
        </w:rPr>
      </w:pPr>
      <w:r w:rsidRPr="001D4A4A">
        <w:rPr>
          <w:rFonts w:ascii="Calibri" w:hAnsi="Calibri" w:cs="Calibri"/>
          <w:bCs w:val="0"/>
          <w:kern w:val="24"/>
          <w:sz w:val="24"/>
          <w:szCs w:val="24"/>
          <w:lang w:val="en-GB" w:eastAsia="ka-GE"/>
        </w:rPr>
        <w:t xml:space="preserve"> </w:t>
      </w:r>
    </w:p>
    <w:p w:rsidR="003E51C4" w:rsidRPr="0057428D" w:rsidRDefault="003E51C4" w:rsidP="003E51C4">
      <w:pPr>
        <w:spacing w:before="100" w:beforeAutospacing="1" w:after="100" w:afterAutospacing="1"/>
        <w:rPr>
          <w:rFonts w:eastAsia="Times New Roman"/>
          <w:lang w:val="en-GB"/>
        </w:rPr>
      </w:pPr>
    </w:p>
    <w:p w:rsidR="001A7DEC" w:rsidRDefault="001A7DEC"/>
    <w:sectPr w:rsidR="001A7DEC">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nsid w:val="723647AC"/>
    <w:multiLevelType w:val="hybridMultilevel"/>
    <w:tmpl w:val="95149BD4"/>
    <w:lvl w:ilvl="0" w:tplc="45867E52">
      <w:start w:val="2015"/>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21D6B"/>
    <w:rsid w:val="001A7DEC"/>
    <w:rsid w:val="00322341"/>
    <w:rsid w:val="003555BD"/>
    <w:rsid w:val="003E51C4"/>
    <w:rsid w:val="00456FB0"/>
    <w:rsid w:val="00552513"/>
    <w:rsid w:val="0057428D"/>
    <w:rsid w:val="006A33F8"/>
    <w:rsid w:val="008B71C9"/>
    <w:rsid w:val="00903BF2"/>
    <w:rsid w:val="00965F2A"/>
    <w:rsid w:val="009A2899"/>
    <w:rsid w:val="009F3EF0"/>
    <w:rsid w:val="00BA0B23"/>
    <w:rsid w:val="00D15B3F"/>
    <w:rsid w:val="00E26103"/>
    <w:rsid w:val="00FC0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paragraph" w:styleId="Heading1">
    <w:name w:val="heading 1"/>
    <w:basedOn w:val="Normal"/>
    <w:link w:val="Heading1Char"/>
    <w:uiPriority w:val="9"/>
    <w:qFormat/>
    <w:rsid w:val="0057428D"/>
    <w:pPr>
      <w:spacing w:before="100" w:beforeAutospacing="1" w:after="100" w:afterAutospacing="1"/>
      <w:outlineLvl w:val="0"/>
    </w:pPr>
    <w:rPr>
      <w:rFonts w:ascii="Times New Roman" w:eastAsia="Calibri"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51C4"/>
    <w:rPr>
      <w:rFonts w:ascii="Tahoma" w:hAnsi="Tahoma" w:cs="Tahoma"/>
      <w:sz w:val="16"/>
      <w:szCs w:val="16"/>
    </w:rPr>
  </w:style>
  <w:style w:type="character" w:customStyle="1" w:styleId="BalloonTextChar">
    <w:name w:val="Balloon Text Char"/>
    <w:basedOn w:val="DefaultParagraphFont"/>
    <w:link w:val="BalloonText"/>
    <w:uiPriority w:val="99"/>
    <w:semiHidden/>
    <w:rsid w:val="003E51C4"/>
    <w:rPr>
      <w:rFonts w:ascii="Tahoma" w:hAnsi="Tahoma" w:cs="Tahoma"/>
      <w:sz w:val="16"/>
      <w:szCs w:val="16"/>
    </w:rPr>
  </w:style>
  <w:style w:type="paragraph" w:styleId="ListParagraph">
    <w:name w:val="List Paragraph"/>
    <w:basedOn w:val="Normal"/>
    <w:uiPriority w:val="34"/>
    <w:qFormat/>
    <w:rsid w:val="0057428D"/>
    <w:pPr>
      <w:spacing w:after="200" w:line="276" w:lineRule="auto"/>
      <w:ind w:left="720"/>
      <w:contextualSpacing/>
    </w:pPr>
    <w:rPr>
      <w:rFonts w:eastAsia="Calibri" w:cs="Times New Roman"/>
    </w:rPr>
  </w:style>
  <w:style w:type="character" w:customStyle="1" w:styleId="Heading1Char">
    <w:name w:val="Heading 1 Char"/>
    <w:basedOn w:val="DefaultParagraphFont"/>
    <w:link w:val="Heading1"/>
    <w:uiPriority w:val="9"/>
    <w:rsid w:val="0057428D"/>
    <w:rPr>
      <w:rFonts w:ascii="Times New Roman" w:eastAsia="Calibri" w:hAnsi="Times New Roman" w:cs="Times New Roman"/>
      <w:b/>
      <w:bCs/>
      <w:kern w:val="36"/>
      <w:sz w:val="48"/>
      <w:szCs w:val="48"/>
    </w:rPr>
  </w:style>
  <w:style w:type="paragraph" w:styleId="NormalWeb">
    <w:name w:val="Normal (Web)"/>
    <w:basedOn w:val="Normal"/>
    <w:uiPriority w:val="99"/>
    <w:unhideWhenUsed/>
    <w:rsid w:val="0057428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2018-01-15T06:29:00Z</dcterms:created>
  <dcterms:modified xsi:type="dcterms:W3CDTF">2018-01-15T06:29:00Z</dcterms:modified>
</cp:coreProperties>
</file>